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03" w:rsidRDefault="00BA29A4" w:rsidP="00BA29A4">
      <w:pPr>
        <w:pStyle w:val="Title"/>
      </w:pPr>
      <w:r>
        <w:t>Standard 2 Governance and Leadership</w:t>
      </w:r>
    </w:p>
    <w:p w:rsidR="00BA29A4" w:rsidRPr="00BA29A4" w:rsidRDefault="00BA29A4" w:rsidP="00BA29A4">
      <w:pPr>
        <w:rPr>
          <w:sz w:val="56"/>
          <w:szCs w:val="56"/>
        </w:rPr>
      </w:pPr>
      <w:r w:rsidRPr="00BA29A4">
        <w:rPr>
          <w:sz w:val="56"/>
          <w:szCs w:val="56"/>
        </w:rPr>
        <w:t>The system operates under governance and leadership that promote and support student performance and system effectiveness.</w:t>
      </w:r>
      <w:bookmarkStart w:id="0" w:name="_GoBack"/>
      <w:bookmarkEnd w:id="0"/>
    </w:p>
    <w:sectPr w:rsidR="00BA29A4" w:rsidRPr="00BA2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A4"/>
    <w:rsid w:val="00BA29A4"/>
    <w:rsid w:val="00F9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29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29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29A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29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2015-09-04T19:25:00Z</dcterms:created>
  <dcterms:modified xsi:type="dcterms:W3CDTF">2015-09-04T19:26:00Z</dcterms:modified>
</cp:coreProperties>
</file>