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15" w:rsidRDefault="00422C0F" w:rsidP="00422C0F">
      <w:pPr>
        <w:pStyle w:val="Title"/>
      </w:pPr>
      <w:r>
        <w:t>Standard 3 Teaching and Assessing for Learning</w:t>
      </w:r>
    </w:p>
    <w:p w:rsidR="00422C0F" w:rsidRPr="00422C0F" w:rsidRDefault="00422C0F" w:rsidP="00422C0F">
      <w:pPr>
        <w:rPr>
          <w:sz w:val="52"/>
          <w:szCs w:val="52"/>
        </w:rPr>
      </w:pPr>
      <w:r>
        <w:rPr>
          <w:sz w:val="52"/>
          <w:szCs w:val="52"/>
        </w:rPr>
        <w:t>The system’s curriculum, instructional design, and assessment practices guide and ensure teacher effectiveness and student learning across all grades and courses.</w:t>
      </w:r>
      <w:bookmarkStart w:id="0" w:name="_GoBack"/>
      <w:bookmarkEnd w:id="0"/>
    </w:p>
    <w:sectPr w:rsidR="00422C0F" w:rsidRPr="0042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F"/>
    <w:rsid w:val="00422C0F"/>
    <w:rsid w:val="00B1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2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2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2015-09-04T19:27:00Z</dcterms:created>
  <dcterms:modified xsi:type="dcterms:W3CDTF">2015-09-04T19:28:00Z</dcterms:modified>
</cp:coreProperties>
</file>